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 w:line="360" w:lineRule="auto"/>
        <w:ind w:left="5103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Приложение № 2</w:t>
      </w:r>
    </w:p>
    <w:p>
      <w:pPr>
        <w:spacing w:after="0" w:line="240" w:lineRule="auto"/>
        <w:ind w:left="5103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УТВЕРЖДЕН</w:t>
      </w:r>
    </w:p>
    <w:p>
      <w:pPr>
        <w:spacing w:after="0" w:line="240" w:lineRule="auto"/>
        <w:ind w:left="5103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постановлением </w:t>
      </w:r>
    </w:p>
    <w:p>
      <w:pPr>
        <w:spacing w:after="0" w:line="240" w:lineRule="auto"/>
        <w:ind w:left="5103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Администрации Тазовского района</w:t>
      </w:r>
    </w:p>
    <w:p>
      <w:pPr>
        <w:spacing w:after="0" w:line="240" w:lineRule="auto"/>
        <w:ind w:left="5103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от 10 февраля 2021 года № 82-п</w:t>
      </w:r>
      <w:bookmarkStart w:id="0" w:name="_GoBack"/>
      <w:bookmarkEnd w:id="0"/>
    </w:p>
    <w:p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>
        <w:rPr>
          <w:rFonts w:ascii="PT Astra Serif" w:hAnsi="PT Astra Serif" w:cs="Times New Roman"/>
          <w:b/>
          <w:sz w:val="28"/>
          <w:szCs w:val="28"/>
        </w:rPr>
        <w:t>П О Р Я Д О К</w:t>
      </w:r>
    </w:p>
    <w:p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>
        <w:rPr>
          <w:rFonts w:ascii="PT Astra Serif" w:hAnsi="PT Astra Serif" w:cs="Times New Roman"/>
          <w:b/>
          <w:sz w:val="28"/>
          <w:szCs w:val="28"/>
        </w:rPr>
        <w:t>проведения отбора проектов школьного партисипаторного бюджетирования в муниципальном округе Тазовский район</w:t>
      </w:r>
    </w:p>
    <w:p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>
        <w:rPr>
          <w:rFonts w:ascii="PT Astra Serif" w:hAnsi="PT Astra Serif" w:cs="Times New Roman"/>
          <w:b/>
          <w:sz w:val="28"/>
          <w:szCs w:val="28"/>
        </w:rPr>
        <w:t>Ямало-Ненецкого автономного округа</w:t>
      </w:r>
    </w:p>
    <w:p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>
      <w:pPr>
        <w:pStyle w:val="a3"/>
        <w:numPr>
          <w:ilvl w:val="0"/>
          <w:numId w:val="5"/>
        </w:numPr>
        <w:spacing w:after="0" w:line="240" w:lineRule="auto"/>
        <w:ind w:left="0" w:firstLine="0"/>
        <w:jc w:val="center"/>
        <w:rPr>
          <w:rFonts w:ascii="PT Astra Serif" w:hAnsi="PT Astra Serif" w:cs="Times New Roman"/>
          <w:b/>
          <w:sz w:val="28"/>
          <w:szCs w:val="28"/>
        </w:rPr>
      </w:pPr>
      <w:r>
        <w:rPr>
          <w:rFonts w:ascii="PT Astra Serif" w:hAnsi="PT Astra Serif" w:cs="Times New Roman"/>
          <w:b/>
          <w:sz w:val="28"/>
          <w:szCs w:val="28"/>
        </w:rPr>
        <w:t>Общие положения</w:t>
      </w:r>
    </w:p>
    <w:p>
      <w:pPr>
        <w:spacing w:after="0" w:line="240" w:lineRule="auto"/>
        <w:ind w:firstLine="709"/>
        <w:jc w:val="center"/>
        <w:rPr>
          <w:rFonts w:ascii="PT Astra Serif" w:hAnsi="PT Astra Serif" w:cs="Times New Roman"/>
          <w:sz w:val="28"/>
          <w:szCs w:val="28"/>
        </w:rPr>
      </w:pPr>
    </w:p>
    <w:p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Порядок проведения отбора проектов школьного партисипаторного бюджетирования в муниципальном округе Тазовский район Ямало-Ненецкого автономного округа устанавливает механизмы организации проведения отбора проектов школьного бюджетирования (далее – ШПБ, Порядок, отбор проектов школьного бюджетирования) в муниципальных общеобразовательных организациях Тазовского района (далее – школы), направленных на решение вопросов местного значения.</w:t>
      </w:r>
    </w:p>
    <w:p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Целью отбора является определение проектов ШПБ, на реализацию которых будут направлены средства бюджета муниципального округа Тазовский район Ямало-Ненецкого автономного округа.</w:t>
      </w:r>
    </w:p>
    <w:p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Объем средств утверждается ежегодно в соответствии с решением  Думы Тазовского района  на очередной финансовый год и на плановый период.</w:t>
      </w:r>
    </w:p>
    <w:p>
      <w:pPr>
        <w:pStyle w:val="a3"/>
        <w:spacing w:after="0" w:line="240" w:lineRule="auto"/>
        <w:ind w:left="1380"/>
        <w:rPr>
          <w:rFonts w:ascii="PT Astra Serif" w:hAnsi="PT Astra Serif"/>
          <w:b/>
          <w:sz w:val="28"/>
          <w:szCs w:val="28"/>
        </w:rPr>
      </w:pPr>
    </w:p>
    <w:p>
      <w:pPr>
        <w:pStyle w:val="a3"/>
        <w:numPr>
          <w:ilvl w:val="0"/>
          <w:numId w:val="3"/>
        </w:numPr>
        <w:spacing w:after="0" w:line="240" w:lineRule="auto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Основные понятия, используемые в настоящем Положении</w:t>
      </w:r>
    </w:p>
    <w:p>
      <w:pPr>
        <w:pStyle w:val="a3"/>
        <w:spacing w:after="0" w:line="240" w:lineRule="auto"/>
        <w:ind w:left="0"/>
        <w:rPr>
          <w:rFonts w:ascii="PT Astra Serif" w:hAnsi="PT Astra Serif"/>
          <w:b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Школьное бюджетирование – форма непосредственного участия обучающихся в решении вопросов местного значения посредством определения направлений расходования бюджетных средств на реализацию наиболее значимых инициатив школьников. </w:t>
      </w: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Проектная идея – идея одного ученика или Инициативной группы учащихся, направленная на решение касающихся школьников вопросов местного значения в Тазовском районе. </w:t>
      </w: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Участники школьного бюджетирования – учащиеся 7-11 классов общеобразовательных организаций  Тазовского района, за исключением Муниципального казенного общеобразовательного учреждения Находкинская школа-интернат начального общего образования (далее – МКОУ НШИ),                    где участниками проекта школьного бюджетирования являются все учащиеся (далее – школьники), органы ученического самоуправления, педагогические </w:t>
      </w:r>
      <w:r>
        <w:rPr>
          <w:rFonts w:ascii="PT Astra Serif" w:hAnsi="PT Astra Serif"/>
          <w:sz w:val="28"/>
          <w:szCs w:val="28"/>
        </w:rPr>
        <w:lastRenderedPageBreak/>
        <w:t>работники муниципальных образовательных организаций, ответственные                      за реализацию ШПБ в школах, Муниципальные кураторы, волонтёры, вовлечённые в реализацию проекта</w:t>
      </w:r>
      <w:r>
        <w:rPr>
          <w:rFonts w:ascii="PT Astra Serif" w:hAnsi="PT Astra Serif" w:cs="Times New Roman"/>
          <w:sz w:val="28"/>
          <w:szCs w:val="28"/>
        </w:rPr>
        <w:t>школьного бюджетирования</w:t>
      </w:r>
      <w:r>
        <w:rPr>
          <w:rFonts w:ascii="PT Astra Serif" w:hAnsi="PT Astra Serif"/>
          <w:sz w:val="28"/>
          <w:szCs w:val="28"/>
        </w:rPr>
        <w:t xml:space="preserve">. </w:t>
      </w: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Проект школьного бюджетирования – документально оформленная общественно-значимая инициатива (Проектная идея) участников школьного бюджетирования.</w:t>
      </w: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Ученический совет (Совет учащихся Муниципального бюджетного общеобразовательного учреждения Тазовская средняя общеобразовательная школа (далее – МБОУ ТСОШ), Муниципального казенного общеобразовательного учреждения Газ-Салинская средняя </w:t>
      </w:r>
      <w:r>
        <w:rPr>
          <w:rFonts w:ascii="PT Astra Serif" w:hAnsi="PT Astra Serif"/>
          <w:spacing w:val="-20"/>
          <w:sz w:val="28"/>
          <w:szCs w:val="28"/>
        </w:rPr>
        <w:t>общеобразовательная</w:t>
      </w:r>
      <w:r>
        <w:rPr>
          <w:rFonts w:ascii="PT Astra Serif" w:hAnsi="PT Astra Serif"/>
          <w:sz w:val="28"/>
          <w:szCs w:val="28"/>
        </w:rPr>
        <w:t xml:space="preserve"> школа (далее – МКОУ ГСОШ), Муниципального казенного общеобразовательного учреждения Тазовская школа-интернат среднего общего образования  (далее – МКОУ ТШИ), Муниципального казенного общеобразовательного учреждения Гыданская школа-интернат среднего общего образования имени Натальи Ивановны Яптунай (далее – МКОУ ГШИ имени Н.И. Яптунай), Муниципального казенного общеобразовательного учреждения Антипаютинская школа-интернат среднего общего образования (далее – МКОУ АШИ), Муниципального казенного общеобразовательного учрежденияНаходкинская школа-интернат начального  общего образования (далее – МКОУ НШИ) – совещательный орган, представленный учащимися школы, принимающий участие в подготовке и реализации проектов школьного бюджетирования в муниципальных образованиях Тазовского района                               и представляющий интересы школьников во взаимоотношениях с органами местного самоуправления Тазовского района (далее – Ученический совет). </w:t>
      </w: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Инициативная группа – группа школьников, самоорганизованная                          на основе общности интересов с целью разработки Проектной идеи,                              её продвижения и отслеживания реализации в случае победы по итогам голосования. </w:t>
      </w: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Школьный куратор – педагогический работник либо заместитель руководителя общеобразовательной организации, ответственный                                   за развитие школьного бюджетирования. Осуществляет организационную                             и консультационную поддержку Ученическому совету, школьникам, является связующим звеном между школой и Муниципальным куратором. </w:t>
      </w: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Муниципальный куратор – специалист департамента образования Администрации Тазовского района, ответственный за развитие школьного бюджетирования в муниципальной системе образования. Является связующим звеном между школами и Муниципальным координационным советом                           по развитию школьного бюджетирования на территории муниципального округа Тазовский район Ямало-Ненецкого автономного округа. </w:t>
      </w: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Муниципальный координационный совет – совещательный орган, созданный в целях внедрения школьного бюджетирования на территории Тазовского района. </w:t>
      </w:r>
    </w:p>
    <w:p>
      <w:pPr>
        <w:pStyle w:val="a3"/>
        <w:spacing w:after="0" w:line="240" w:lineRule="auto"/>
        <w:ind w:left="1380"/>
        <w:jc w:val="both"/>
        <w:rPr>
          <w:rFonts w:ascii="PT Astra Serif" w:hAnsi="PT Astra Serif" w:cs="Times New Roman"/>
          <w:sz w:val="28"/>
          <w:szCs w:val="28"/>
        </w:rPr>
      </w:pPr>
    </w:p>
    <w:p>
      <w:pPr>
        <w:pStyle w:val="a3"/>
        <w:numPr>
          <w:ilvl w:val="0"/>
          <w:numId w:val="3"/>
        </w:numPr>
        <w:spacing w:after="0" w:line="240" w:lineRule="auto"/>
        <w:ind w:left="0" w:firstLine="0"/>
        <w:jc w:val="center"/>
        <w:rPr>
          <w:rFonts w:ascii="PT Astra Serif" w:hAnsi="PT Astra Serif" w:cs="Times New Roman"/>
          <w:b/>
          <w:sz w:val="28"/>
          <w:szCs w:val="28"/>
        </w:rPr>
      </w:pPr>
      <w:r>
        <w:rPr>
          <w:rFonts w:ascii="PT Astra Serif" w:hAnsi="PT Astra Serif" w:cs="Times New Roman"/>
          <w:b/>
          <w:sz w:val="28"/>
          <w:szCs w:val="28"/>
        </w:rPr>
        <w:lastRenderedPageBreak/>
        <w:t>Организация и проведение отбора проектов                                           школьного бюджетирования</w:t>
      </w:r>
    </w:p>
    <w:p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>
      <w:pPr>
        <w:pStyle w:val="a3"/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Порядок проведения отбора проектов школьного бюджетирования осуществляется в соответствии со следующим алгоритмом:</w:t>
      </w:r>
    </w:p>
    <w:p>
      <w:pPr>
        <w:pStyle w:val="a3"/>
        <w:numPr>
          <w:ilvl w:val="2"/>
          <w:numId w:val="3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Информационная кампания в школе.</w:t>
      </w:r>
    </w:p>
    <w:p>
      <w:pPr>
        <w:tabs>
          <w:tab w:val="left" w:pos="1560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Информационную кампанию организует Школьный куратор через различные формы работы. К проведению информационной кампании привлекаются члены Ученического совета, прошедшие тренинг волонтеры, Муниципальные кураторы, представители органов местного самоуправления, департамента финансов Администрации Тазовского района, средств массовой информации, другие заинтересованные лица.</w:t>
      </w:r>
    </w:p>
    <w:p>
      <w:pPr>
        <w:pStyle w:val="a3"/>
        <w:numPr>
          <w:ilvl w:val="2"/>
          <w:numId w:val="3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Выдвижение Проектных идей.</w:t>
      </w:r>
    </w:p>
    <w:p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Выдвижение Проектных идей проводится на классных собраниях учащихся. Внутри класса выдвигаются идеи, которые могли бы лечь в основу</w:t>
      </w:r>
    </w:p>
    <w:p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проекта школьного бюджетирования. </w:t>
      </w:r>
    </w:p>
    <w:p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Требования к проектным идеям: реалистичность, актуальность, социальная значимость, направленность на решение касающихся школьников вопросов местного значения, соответствие размеру выделяемых на реализацию проекта школьного бюджетирования средств.</w:t>
      </w:r>
    </w:p>
    <w:p>
      <w:pPr>
        <w:pStyle w:val="a3"/>
        <w:numPr>
          <w:ilvl w:val="2"/>
          <w:numId w:val="3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Презентация Проектных идей.</w:t>
      </w:r>
    </w:p>
    <w:p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Презентация Проектных идей проводится в любой форме, избираемой Инициативной группой. Коллектив класса в составе не менее 50-ти %                               от списочного состава проводит отбор одной идеи от класса путём открытого голосования. Побеждает идея, набравшая наибольшее число голосов.</w:t>
      </w:r>
    </w:p>
    <w:p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Для оформления идеи в проект школьного бюджетирования классный коллектив формирует Инициативнуюгруппу из числа обучающихся класса                           и определяет её руководителя.</w:t>
      </w:r>
    </w:p>
    <w:p>
      <w:pPr>
        <w:pStyle w:val="a3"/>
        <w:numPr>
          <w:ilvl w:val="2"/>
          <w:numId w:val="3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Оформление идеи в проект школьного бюджетирования.</w:t>
      </w:r>
    </w:p>
    <w:p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Инициативная группа оформляет Проектную идею, выбранную                    классом, в проект школьного бюджетирования, готовит подробное описание,                 к которому прилагаются иллюстрационные материалы (фотографии, видеоролики, рисунки и другие материалы на усмотрение членов рабочей группы). Кроме обоснования необходимости финансовых средств, требующихся для реализации проекта школьного бюджетирования,                          также возможно включение мероприятий по неденежному вкладу обучающихся в реализацию проекта школьного бюджетирования.</w:t>
      </w:r>
    </w:p>
    <w:p>
      <w:pPr>
        <w:pStyle w:val="a3"/>
        <w:numPr>
          <w:ilvl w:val="2"/>
          <w:numId w:val="3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Публичная защита проектов школьного бюджетирования в форме открытого мероприятия.</w:t>
      </w:r>
    </w:p>
    <w:p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Для детального ознакомления всех обучающихся – участников предстоящего общешкольного голосования с содержанием проектов школьного бюджетирования организуется публичная защита проектов школьного бюджетирования. Правила проведения публичной защиты, форму                                  её проведения (панельная дискуссия, стендовая защита, презентация проектов </w:t>
      </w:r>
      <w:r>
        <w:rPr>
          <w:rFonts w:ascii="PT Astra Serif" w:hAnsi="PT Astra Serif" w:cs="Times New Roman"/>
          <w:sz w:val="28"/>
          <w:szCs w:val="28"/>
        </w:rPr>
        <w:lastRenderedPageBreak/>
        <w:t>школьного бюджетирования на общем собрании идр.) и ограничения                              по срокам проведения определяет Ученический совет.</w:t>
      </w:r>
    </w:p>
    <w:p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Также информация о проектах школьного бюджетирования                          (описание, иллюстрационные материалы и др.) размещается                                         на информационных стендах в общедоступном месте (фойе, рекреации, др.).</w:t>
      </w:r>
    </w:p>
    <w:p>
      <w:pPr>
        <w:pStyle w:val="a3"/>
        <w:numPr>
          <w:ilvl w:val="2"/>
          <w:numId w:val="3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Общешкольное голосование.</w:t>
      </w:r>
    </w:p>
    <w:p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Ответственным за организацию и проведение общешкольного голосования является Ученический совет.</w:t>
      </w:r>
    </w:p>
    <w:p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Ученический совет заблаговременно информирует участников голосования о месте и времени проведения голосования, а также                                         о правилах учета голосов. Ученический совет при поддержке                              Школьного куратора организует изготовление бюллетеней в соответствии                        с количеством обучающихся школы, принимающих участие в голосовании,                      а также изготовление списков участников голосования (по классам).</w:t>
      </w:r>
    </w:p>
    <w:p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Каждый ученик может проголосовать только за два проекта школьного бюджетирования из перечня проектов школьного бюджетирования, вынесенных на голосование (поставить не более двух отметок в бюллетене).</w:t>
      </w:r>
    </w:p>
    <w:p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Голосование проводится в течение одного определенного дня с 09.00                     до 16.00. Опечатанная урна для голосования устанавливается в помещении, удобном для посещения всеми обучающимися. Выдача бюллетеней осуществляется представителями Ученического совета. Каждому ученику, включённому в список, может быть выдан только один бюллетень. Обучающийся ставит подпись в списке, подтверждая факт получения бюллетеня.</w:t>
      </w:r>
    </w:p>
    <w:p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Возможность принять участие в голосовании предоставляется                             также обучающимся 1-6 классов (по желанию). При этом все                             обучающиеся 1-6 классов, изъявившие желание проголосовать за проекты школьного бюджетирования, вносятся в дополнительный список.</w:t>
      </w:r>
    </w:p>
    <w:p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Подсчет голосов по итогам голосования осуществляют члены Ученического совета. Итоги голосования оформляются протоколом                         заседания Ученического совета, к которому прилагается ранжированный список проектов школьного бюджетирования, включающий название проекта школьного бюджетирования и число поданных за него голосов.</w:t>
      </w:r>
    </w:p>
    <w:p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В срок не позднее 5 рабочих дней со дня завершения голосования Муниципальному куратору ШПБ предоставляется следующий пакет документов:</w:t>
      </w:r>
    </w:p>
    <w:p>
      <w:pPr>
        <w:pStyle w:val="a3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протокол заседания Ученического совета с ранжированным списком проектов школьного бюджетирования;</w:t>
      </w:r>
    </w:p>
    <w:p>
      <w:pPr>
        <w:pStyle w:val="a3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заявка по форме согласно приложению № 1 к настоящему Порядку;</w:t>
      </w:r>
    </w:p>
    <w:p>
      <w:pPr>
        <w:pStyle w:val="a3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проект школьного бюджетирования по форме согласно приложению    № 2 к настоящему Порядку;</w:t>
      </w:r>
    </w:p>
    <w:p>
      <w:pPr>
        <w:pStyle w:val="a3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фотоматериалы о текущем состоянии объекта, где планируются проводиться работы в рамках проекта школьного бюджетирования;</w:t>
      </w:r>
    </w:p>
    <w:p>
      <w:pPr>
        <w:pStyle w:val="a3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lastRenderedPageBreak/>
        <w:t>иные документы по желанию Ученического совета или Инициативной группы.</w:t>
      </w:r>
    </w:p>
    <w:p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Проекты школьного бюджетирования, получившие наибольшее число голосов, и для которых оценочный объем запрашиваемого финансирования                      из бюджета не превышает установленный для школы лимит, признаются победителями в голосовании.</w:t>
      </w:r>
    </w:p>
    <w:p>
      <w:pPr>
        <w:pStyle w:val="a3"/>
        <w:numPr>
          <w:ilvl w:val="2"/>
          <w:numId w:val="3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Техническая экспертиза, доработка и реализация проектов школьного бюджетирования.</w:t>
      </w:r>
    </w:p>
    <w:p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Муниципальный куратор организует техническую экспертизу                      проектов школьного бюджетирования, уточнение их стоимости. Совместно                    с Инициативной группой проекта школьного бюджетирования уточняет при необходимости детали (корректирует позиции, если реальная стоимость проекта школьного бюджетирования оказалась выше заявленной и т.п.).</w:t>
      </w:r>
    </w:p>
    <w:p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После технической экспертизы и доработки проект школьного бюджетирования передаётся директору школы, который в соответствии                          с законодательством обеспечивает реализацию мероприятий проекта школьного бюджетирования.</w:t>
      </w:r>
    </w:p>
    <w:p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>
      <w:pPr>
        <w:pStyle w:val="a3"/>
        <w:numPr>
          <w:ilvl w:val="0"/>
          <w:numId w:val="3"/>
        </w:numPr>
        <w:spacing w:after="0" w:line="240" w:lineRule="auto"/>
        <w:ind w:left="0" w:firstLine="0"/>
        <w:jc w:val="center"/>
        <w:rPr>
          <w:rFonts w:ascii="PT Astra Serif" w:hAnsi="PT Astra Serif" w:cs="Times New Roman"/>
          <w:b/>
          <w:sz w:val="28"/>
          <w:szCs w:val="28"/>
        </w:rPr>
      </w:pPr>
      <w:r>
        <w:rPr>
          <w:rFonts w:ascii="PT Astra Serif" w:hAnsi="PT Astra Serif" w:cs="Times New Roman"/>
          <w:b/>
          <w:sz w:val="28"/>
          <w:szCs w:val="28"/>
        </w:rPr>
        <w:t>Рабочие органы школьного партисипаторного                                бюджетирования и порядок их работы</w:t>
      </w:r>
    </w:p>
    <w:p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>
      <w:pPr>
        <w:pStyle w:val="a3"/>
        <w:numPr>
          <w:ilvl w:val="1"/>
          <w:numId w:val="3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В целях внедрения системы ШПБ на территории муниципального </w:t>
      </w:r>
      <w:r>
        <w:rPr>
          <w:rFonts w:ascii="PT Astra Serif" w:hAnsi="PT Astra Serif"/>
          <w:sz w:val="28"/>
          <w:szCs w:val="28"/>
        </w:rPr>
        <w:t>округа Тазовский район Ямало-Ненецкого автономного округа</w:t>
      </w:r>
      <w:r>
        <w:rPr>
          <w:rFonts w:ascii="PT Astra Serif" w:hAnsi="PT Astra Serif" w:cs="Times New Roman"/>
          <w:sz w:val="28"/>
          <w:szCs w:val="28"/>
        </w:rPr>
        <w:t xml:space="preserve"> создаётся Муниципальный координационный совет по развитию школьного партисипаторного бюджетирования на территории муниципального </w:t>
      </w:r>
      <w:r>
        <w:rPr>
          <w:rFonts w:ascii="PT Astra Serif" w:hAnsi="PT Astra Serif"/>
          <w:sz w:val="28"/>
          <w:szCs w:val="28"/>
        </w:rPr>
        <w:t>округа Тазовский район Ямало-Ненецкого автономного округа.</w:t>
      </w:r>
    </w:p>
    <w:p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Функции Муниципального координационного совета:</w:t>
      </w:r>
    </w:p>
    <w:p>
      <w:pPr>
        <w:pStyle w:val="a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разработка проектов муниципальных правовых актов, регулирующих реализацию системы ШПБ;</w:t>
      </w:r>
    </w:p>
    <w:p>
      <w:pPr>
        <w:pStyle w:val="a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подготовка и распространение методических и информационных материалов, а также стандартных форм документов, необходимых для участия в ШПБ;</w:t>
      </w:r>
    </w:p>
    <w:p>
      <w:pPr>
        <w:pStyle w:val="a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распространение информации о реализации ШПБ на официальном сайте департамента образования Администрации Тазовского района, в СМИ, социальных сетях и по другим каналам связи;</w:t>
      </w:r>
    </w:p>
    <w:p>
      <w:pPr>
        <w:pStyle w:val="a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участие в организации мероприятий по обучению участников школьного бюджетирования;</w:t>
      </w:r>
    </w:p>
    <w:p>
      <w:pPr>
        <w:pStyle w:val="a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участие в проведении технического анализа и экспертизы проектов школьного бюджетирования;</w:t>
      </w:r>
    </w:p>
    <w:p>
      <w:pPr>
        <w:pStyle w:val="a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мониторинг реализации школьного бюджетирования на всех его этапах.</w:t>
      </w:r>
    </w:p>
    <w:p>
      <w:pPr>
        <w:pStyle w:val="a3"/>
        <w:numPr>
          <w:ilvl w:val="1"/>
          <w:numId w:val="3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С целью обеспечения развития ШПБ в муниципальной системе образования и координации действий между школами и Муниципальным координационным советом по развитию ШПБ на территории Тазовского района </w:t>
      </w:r>
      <w:r>
        <w:rPr>
          <w:rFonts w:ascii="PT Astra Serif" w:hAnsi="PT Astra Serif" w:cs="Times New Roman"/>
          <w:sz w:val="28"/>
          <w:szCs w:val="28"/>
        </w:rPr>
        <w:lastRenderedPageBreak/>
        <w:t>в муниципальной системе образования Тазовского района назначается Муниципальный куратор.</w:t>
      </w:r>
    </w:p>
    <w:p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Муниципальный куратор осуществляет следующие функции:</w:t>
      </w:r>
    </w:p>
    <w:p>
      <w:pPr>
        <w:pStyle w:val="a3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разработка проектов муниципальных правовых актов о проведении отбора проектов школьного бюджетирования в соответствующем финансовом году; </w:t>
      </w:r>
    </w:p>
    <w:p>
      <w:pPr>
        <w:pStyle w:val="a3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определение сроков проведения отбора проектов школьного бюджетирования и извещение о них участников;</w:t>
      </w:r>
    </w:p>
    <w:p>
      <w:pPr>
        <w:pStyle w:val="a3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организация деятельности общеобразовательных организаций                        по развитию ШПБ (проведение инструктивных совещаний, семинаров, каникулярных школ, тренингов и др.);</w:t>
      </w:r>
    </w:p>
    <w:p>
      <w:pPr>
        <w:pStyle w:val="a3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организация проведения широкой информационной кампании                         по вопросам внедрения и развития ШПБ;</w:t>
      </w:r>
    </w:p>
    <w:p>
      <w:pPr>
        <w:pStyle w:val="a3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закрепление за каждой школой ответственных лиц, осуществляющих сопровождение на всех этапах реализации ШПБ;</w:t>
      </w:r>
    </w:p>
    <w:p>
      <w:pPr>
        <w:pStyle w:val="a3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при необходимости направление запросов в органы исполнительной власти муниципального округа Тазовский район Ямало-Ненецкого автономного округа для получения заключений по проектам школьного бюджетирования, содержащих информацию о возможности и целесообразности их реализации                  на территории Тазовского района;</w:t>
      </w:r>
    </w:p>
    <w:p>
      <w:pPr>
        <w:pStyle w:val="a3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составление сводного перечня проектов школьного бюджетирования, направление его в Муниципальный координационный совет с приложением копий протоколов заседаний Ученических советов каждой школы,                                    а также размещение сведений по заявленным проектам школьного бюджетирования на официальном сайте департамента образования Администрации Тазовского района;</w:t>
      </w:r>
    </w:p>
    <w:p>
      <w:pPr>
        <w:pStyle w:val="a3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организация взаимодействия органов ученического самоуправления школ и органов местного самоуправления Тазовского района через членов Муниципального координационного Совета.</w:t>
      </w:r>
    </w:p>
    <w:p>
      <w:pPr>
        <w:pStyle w:val="a3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Для осуществления организационной и консультационной поддержки Ученическому совету и обучающимся в каждой школе назначается Школьный куратор, ответственный за развитие ШПБ. Школьный куратор является связующим звеном между школой и Муниципальным куратором.</w:t>
      </w:r>
    </w:p>
    <w:p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Функции Школьного куратора:</w:t>
      </w:r>
    </w:p>
    <w:p>
      <w:pPr>
        <w:pStyle w:val="a3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участие в организации мероприятий по обучению участников школьного бюджетирования;</w:t>
      </w:r>
    </w:p>
    <w:p>
      <w:pPr>
        <w:pStyle w:val="a3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организация распространения методических и информационных материалов совместно с представителями Муниципального координационного совета и Муниципальным куратором;</w:t>
      </w:r>
    </w:p>
    <w:p>
      <w:pPr>
        <w:pStyle w:val="a3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регулярное информирование администрации и педагогического состава школы о ШПБ и ходе его реализации;</w:t>
      </w:r>
    </w:p>
    <w:p>
      <w:pPr>
        <w:pStyle w:val="a3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оказание помощи обучающимся в решении организационных вопросов на всех этапах отбора и реализации проектов школьного бюджетирования (организация работы по выдвижению проектных идей                           </w:t>
      </w:r>
      <w:r>
        <w:rPr>
          <w:rFonts w:ascii="PT Astra Serif" w:hAnsi="PT Astra Serif" w:cs="Times New Roman"/>
          <w:sz w:val="28"/>
          <w:szCs w:val="28"/>
        </w:rPr>
        <w:lastRenderedPageBreak/>
        <w:t>в классах, оформление проектов школьного бюджетирования, организация публичной защиты и общешкольного голосования, участие в мониторинге хода выполнения, приемке работ и открытии объектов и др.).</w:t>
      </w:r>
    </w:p>
    <w:p>
      <w:pPr>
        <w:pStyle w:val="a3"/>
        <w:numPr>
          <w:ilvl w:val="1"/>
          <w:numId w:val="3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В муниципальных общеобразовательных организациях работу                        по подготовке и реализации проектов школьного бюджетирования организует Ученический совет.</w:t>
      </w:r>
    </w:p>
    <w:p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Функции Ученического совета:</w:t>
      </w:r>
    </w:p>
    <w:p>
      <w:pPr>
        <w:pStyle w:val="a3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организация и проведение информационной кампании;</w:t>
      </w:r>
    </w:p>
    <w:p>
      <w:pPr>
        <w:pStyle w:val="a3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организация и проведение в школе классных и общих собраний                      по выдвижению, обсуждению Проектных идей и последующему отбору проектов школьного бюджетирования;</w:t>
      </w:r>
    </w:p>
    <w:p>
      <w:pPr>
        <w:pStyle w:val="a3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организация проведения общешкольного голосования и объявление его результатов;</w:t>
      </w:r>
    </w:p>
    <w:p>
      <w:pPr>
        <w:pStyle w:val="a3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размещение сведений по заявленным проектам школьного бюджетирования на официальном сайте образовательной организации                             в информационно-телекоммуникационной сети Интернет;  </w:t>
      </w:r>
    </w:p>
    <w:p>
      <w:pPr>
        <w:pStyle w:val="a3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предоставление Муниципальному куратору в течение 5 рабочих дней со дня завершения общешкольного голосования комплекта документов, указанных в разделе 2 Порядка, подтверждающих итоги голосования;</w:t>
      </w:r>
    </w:p>
    <w:p>
      <w:pPr>
        <w:pStyle w:val="a3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участие в мониторинге реализации проектных предложений, информирование заинтересованных участников о ходе их реализации.</w:t>
      </w:r>
    </w:p>
    <w:p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Ученический совет вправе взаимодействовать с другими молодежными совещательными органами и организациями муниципального образования.</w:t>
      </w:r>
    </w:p>
    <w:p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В работе Ученического совета могут принимать участие преподаватели (кураторы), оказывая содействие по организации классных собраний и других, связанных с реализацией проекта школьного бюджетирования, мероприятий. Преподаватели соблюдают нейтральность и не принимают участия                                    в обсуждении Проектных идей, отборе проектов школьного бюджетирования                          и голосовании.</w:t>
      </w:r>
    </w:p>
    <w:sectPr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00460838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</w:rPr>
    </w:sdtEndPr>
    <w:sdtContent>
      <w:p>
        <w:pPr>
          <w:pStyle w:val="a4"/>
          <w:jc w:val="center"/>
          <w:rPr>
            <w:rFonts w:ascii="PT Astra Serif" w:hAnsi="PT Astra Serif"/>
            <w:sz w:val="24"/>
          </w:rPr>
        </w:pPr>
        <w:r>
          <w:rPr>
            <w:rFonts w:ascii="PT Astra Serif" w:hAnsi="PT Astra Serif"/>
            <w:sz w:val="24"/>
          </w:rPr>
          <w:fldChar w:fldCharType="begin"/>
        </w:r>
        <w:r>
          <w:rPr>
            <w:rFonts w:ascii="PT Astra Serif" w:hAnsi="PT Astra Serif"/>
            <w:sz w:val="24"/>
          </w:rPr>
          <w:instrText>PAGE   \* MERGEFORMAT</w:instrText>
        </w:r>
        <w:r>
          <w:rPr>
            <w:rFonts w:ascii="PT Astra Serif" w:hAnsi="PT Astra Serif"/>
            <w:sz w:val="24"/>
          </w:rPr>
          <w:fldChar w:fldCharType="separate"/>
        </w:r>
        <w:r>
          <w:rPr>
            <w:rFonts w:ascii="PT Astra Serif" w:hAnsi="PT Astra Serif"/>
            <w:noProof/>
            <w:sz w:val="24"/>
          </w:rPr>
          <w:t>3</w:t>
        </w:r>
        <w:r>
          <w:rPr>
            <w:rFonts w:ascii="PT Astra Serif" w:hAnsi="PT Astra Serif"/>
            <w:sz w:val="24"/>
          </w:rPr>
          <w:fldChar w:fldCharType="end"/>
        </w:r>
      </w:p>
    </w:sdtContent>
  </w:sdt>
  <w:p>
    <w:pPr>
      <w:pStyle w:val="a4"/>
      <w:rPr>
        <w:rFonts w:ascii="PT Astra Serif" w:hAnsi="PT Astra Serif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EE05C1"/>
    <w:multiLevelType w:val="hybridMultilevel"/>
    <w:tmpl w:val="F4C23B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335598"/>
    <w:multiLevelType w:val="multilevel"/>
    <w:tmpl w:val="D17636DE"/>
    <w:lvl w:ilvl="0">
      <w:start w:val="2"/>
      <w:numFmt w:val="upperRoman"/>
      <w:lvlText w:val="%1."/>
      <w:lvlJc w:val="left"/>
      <w:pPr>
        <w:ind w:left="210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40" w:hanging="12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40" w:hanging="12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40" w:hanging="12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40" w:hanging="12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40" w:hanging="2160"/>
      </w:pPr>
      <w:rPr>
        <w:rFonts w:hint="default"/>
      </w:rPr>
    </w:lvl>
  </w:abstractNum>
  <w:abstractNum w:abstractNumId="2">
    <w:nsid w:val="12A91427"/>
    <w:multiLevelType w:val="hybridMultilevel"/>
    <w:tmpl w:val="8A44B8E8"/>
    <w:lvl w:ilvl="0" w:tplc="217AB7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8650DAC"/>
    <w:multiLevelType w:val="multilevel"/>
    <w:tmpl w:val="D17636DE"/>
    <w:lvl w:ilvl="0">
      <w:start w:val="2"/>
      <w:numFmt w:val="upperRoman"/>
      <w:lvlText w:val="%1."/>
      <w:lvlJc w:val="left"/>
      <w:pPr>
        <w:ind w:left="210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40" w:hanging="12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40" w:hanging="12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40" w:hanging="12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40" w:hanging="12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40" w:hanging="2160"/>
      </w:pPr>
      <w:rPr>
        <w:rFonts w:hint="default"/>
      </w:rPr>
    </w:lvl>
  </w:abstractNum>
  <w:abstractNum w:abstractNumId="4">
    <w:nsid w:val="20B73A49"/>
    <w:multiLevelType w:val="hybridMultilevel"/>
    <w:tmpl w:val="94D408F8"/>
    <w:lvl w:ilvl="0" w:tplc="33F6DB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8326B9"/>
    <w:multiLevelType w:val="multilevel"/>
    <w:tmpl w:val="D17636DE"/>
    <w:lvl w:ilvl="0">
      <w:start w:val="2"/>
      <w:numFmt w:val="upperRoman"/>
      <w:lvlText w:val="%1."/>
      <w:lvlJc w:val="left"/>
      <w:pPr>
        <w:ind w:left="210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40" w:hanging="12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40" w:hanging="12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40" w:hanging="12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40" w:hanging="12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40" w:hanging="2160"/>
      </w:pPr>
      <w:rPr>
        <w:rFonts w:hint="default"/>
      </w:rPr>
    </w:lvl>
  </w:abstractNum>
  <w:abstractNum w:abstractNumId="6">
    <w:nsid w:val="4470334A"/>
    <w:multiLevelType w:val="multilevel"/>
    <w:tmpl w:val="E9CCEE04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>
    <w:nsid w:val="4AEB5319"/>
    <w:multiLevelType w:val="hybridMultilevel"/>
    <w:tmpl w:val="48320658"/>
    <w:lvl w:ilvl="0" w:tplc="217AB7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FC459F0"/>
    <w:multiLevelType w:val="hybridMultilevel"/>
    <w:tmpl w:val="0E482AC0"/>
    <w:lvl w:ilvl="0" w:tplc="217AB7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8145114"/>
    <w:multiLevelType w:val="hybridMultilevel"/>
    <w:tmpl w:val="67BC0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8A00E3"/>
    <w:multiLevelType w:val="multilevel"/>
    <w:tmpl w:val="8A8468A8"/>
    <w:lvl w:ilvl="0">
      <w:start w:val="1"/>
      <w:numFmt w:val="decimal"/>
      <w:lvlText w:val="%1."/>
      <w:lvlJc w:val="left"/>
      <w:pPr>
        <w:ind w:left="1380" w:hanging="13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89" w:hanging="13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98" w:hanging="13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7" w:hanging="13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16" w:hanging="13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6C153DAD"/>
    <w:multiLevelType w:val="hybridMultilevel"/>
    <w:tmpl w:val="ADFABAC0"/>
    <w:lvl w:ilvl="0" w:tplc="217AB7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0EC4CA5"/>
    <w:multiLevelType w:val="hybridMultilevel"/>
    <w:tmpl w:val="1AF0F156"/>
    <w:lvl w:ilvl="0" w:tplc="217AB7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0"/>
  </w:num>
  <w:num w:numId="5">
    <w:abstractNumId w:val="4"/>
  </w:num>
  <w:num w:numId="6">
    <w:abstractNumId w:val="9"/>
  </w:num>
  <w:num w:numId="7">
    <w:abstractNumId w:val="5"/>
  </w:num>
  <w:num w:numId="8">
    <w:abstractNumId w:val="2"/>
  </w:num>
  <w:num w:numId="9">
    <w:abstractNumId w:val="7"/>
  </w:num>
  <w:num w:numId="10">
    <w:abstractNumId w:val="1"/>
  </w:num>
  <w:num w:numId="11">
    <w:abstractNumId w:val="11"/>
  </w:num>
  <w:num w:numId="12">
    <w:abstractNumId w:val="12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25A6B2-9B9A-4C0B-B1EE-7DF786B72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</w:style>
  <w:style w:type="paragraph" w:styleId="a6">
    <w:name w:val="footer"/>
    <w:basedOn w:val="a"/>
    <w:link w:val="a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</w:style>
  <w:style w:type="paragraph" w:styleId="a8">
    <w:name w:val="Balloon Text"/>
    <w:basedOn w:val="a"/>
    <w:link w:val="a9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2488</Words>
  <Characters>14182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Антонова</dc:creator>
  <cp:lastModifiedBy>Фадеева Алена Михайловна</cp:lastModifiedBy>
  <cp:revision>44</cp:revision>
  <cp:lastPrinted>2021-02-11T12:24:00Z</cp:lastPrinted>
  <dcterms:created xsi:type="dcterms:W3CDTF">2019-12-05T06:44:00Z</dcterms:created>
  <dcterms:modified xsi:type="dcterms:W3CDTF">2021-02-11T12:24:00Z</dcterms:modified>
</cp:coreProperties>
</file>